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Uchwała Nr III/17/2025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Rada Dzielnicy Siedlce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z dnia 11.02.2025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 sprawie przeznaczenia środków finansowych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 podstawie </w:t>
      </w:r>
      <w:r w:rsidDel="00000000" w:rsidR="00000000" w:rsidRPr="00000000">
        <w:rPr>
          <w:color w:val="535353"/>
          <w:sz w:val="22"/>
          <w:szCs w:val="22"/>
          <w:rtl w:val="0"/>
        </w:rPr>
        <w:t xml:space="preserve">§ </w:t>
      </w:r>
      <w:r w:rsidDel="00000000" w:rsidR="00000000" w:rsidRPr="00000000">
        <w:rPr>
          <w:sz w:val="22"/>
          <w:szCs w:val="22"/>
          <w:rtl w:val="0"/>
        </w:rPr>
        <w:t xml:space="preserve">15 ust. 1 pkt. 21 i </w:t>
      </w:r>
      <w:r w:rsidDel="00000000" w:rsidR="00000000" w:rsidRPr="00000000">
        <w:rPr>
          <w:color w:val="535353"/>
          <w:sz w:val="22"/>
          <w:szCs w:val="22"/>
          <w:rtl w:val="0"/>
        </w:rPr>
        <w:t xml:space="preserve">§ </w:t>
      </w:r>
      <w:r w:rsidDel="00000000" w:rsidR="00000000" w:rsidRPr="00000000">
        <w:rPr>
          <w:sz w:val="22"/>
          <w:szCs w:val="22"/>
          <w:rtl w:val="0"/>
        </w:rPr>
        <w:t xml:space="preserve">34 ust. 1 Statutu Rady Dzielnicy Siedlce stanowiącego załącznik do uchwały LII/1176/14 Rady Miasta Gdańska z dnia 24 kwietnia 2014 r. w sprawie uchwalenia Statutu Dzielnicy Siedlce (Dz. Urz. Woj Pomorskiego z 30.05.2014 poz. 2010 z późn. zm.) </w:t>
      </w:r>
    </w:p>
    <w:p w:rsidR="00000000" w:rsidDel="00000000" w:rsidP="00000000" w:rsidRDefault="00000000" w:rsidRPr="00000000" w14:paraId="00000006">
      <w:pPr>
        <w:spacing w:after="200" w:before="200" w:line="276" w:lineRule="auto"/>
        <w:jc w:val="center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b w:val="1"/>
          <w:rtl w:val="0"/>
        </w:rPr>
        <w:t xml:space="preserve">Rada Dzielnicy uchwala, co następuje: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sz w:val="22"/>
          <w:szCs w:val="22"/>
          <w:rtl w:val="0"/>
        </w:rPr>
        <w:t xml:space="preserve">Przeznacza się środki finansowe przekazane przez Radę Miasta Gdańska na rok 2025 do realizacji w kwocie 142 572,00 zł na następujące cele: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="276" w:lineRule="auto"/>
        <w:jc w:val="center"/>
        <w:rPr>
          <w:color w:val="535353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Przedsięwzięcia kulturalne, edukacyjne i sportowe, aktywizujące mieszkańców w kwocie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91 220,00 zł</w:t>
      </w:r>
      <w:r w:rsidDel="00000000" w:rsidR="00000000" w:rsidRPr="00000000">
        <w:rPr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jc w:val="both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Rozbudowa małej architektury, zagospodarowanie terenu dzielnicy, drobne inwestycje w kwocie 8 252,00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jc w:val="both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Utrzymanie domeny i strony internetowej rady dzielnicy w kwocie 1 200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Organizacja Święta Niepodległości na dzielnicy z tradycyjnym marszem niepodległości w kwocie 8 000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Organizacja festynów dzielnicowych na dzielnicy w kwocie 25 000,00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Organizacja spotkania świątecznego mieszkańców w grudniu w kwocie 6 500 zł.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Wydatki na promocję działań rady dzielnicy w kwocie 2 400 zł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color w:val="535353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Wykonanie uchwały powierza się Zarządowi Dzielnicy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Uchwała wchodzi w życie z dniem podjęcia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360" w:lineRule="auto"/>
        <w:ind w:left="3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360" w:lineRule="auto"/>
        <w:ind w:left="357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Przewodniczący obrad</w:t>
      </w:r>
    </w:p>
    <w:p w:rsidR="00000000" w:rsidDel="00000000" w:rsidP="00000000" w:rsidRDefault="00000000" w:rsidRPr="00000000" w14:paraId="00000018">
      <w:pPr>
        <w:spacing w:before="240" w:line="360" w:lineRule="auto"/>
        <w:ind w:left="3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360" w:lineRule="auto"/>
        <w:ind w:left="3957" w:firstLine="363.0000000000001"/>
        <w:jc w:val="both"/>
        <w:rPr/>
      </w:pPr>
      <w:r w:rsidDel="00000000" w:rsidR="00000000" w:rsidRPr="00000000">
        <w:rPr>
          <w:rtl w:val="0"/>
        </w:rPr>
        <w:t xml:space="preserve">   </w:t>
        <w:tab/>
        <w:tab/>
        <w:tab/>
        <w:tab/>
        <w:tab/>
        <w:tab/>
        <w:tab/>
        <w:t xml:space="preserve">              …………………………………….</w:t>
      </w:r>
    </w:p>
    <w:sectPr>
      <w:headerReference r:id="rId7" w:type="default"/>
      <w:pgSz w:h="16840" w:w="11900" w:orient="portrait"/>
      <w:pgMar w:bottom="1417" w:top="178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-286380</wp:posOffset>
          </wp:positionH>
          <wp:positionV relativeFrom="paragraph">
            <wp:posOffset>-330830</wp:posOffset>
          </wp:positionV>
          <wp:extent cx="1928495" cy="85788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8495" cy="857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pGU5Og3Wyr92HQXDV6HpJnm7A==">CgMxLjA4AHIhMUpoWXpmd01LSVc2LWloQzlRdzJEWDdlUXFldUREN3Fw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